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3573">
      <w:pPr>
        <w:spacing w:line="7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10387802">
      <w:pPr>
        <w:spacing w:line="7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3C419E4D">
      <w:pPr>
        <w:spacing w:line="7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2024年森林综合保险保费补贴专项</w:t>
      </w:r>
    </w:p>
    <w:p w14:paraId="4036DA24">
      <w:pPr>
        <w:spacing w:line="7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绩效自评报告</w:t>
      </w:r>
    </w:p>
    <w:p w14:paraId="5443433A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 w14:paraId="4718D123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一、绩效目标分解下达情况</w:t>
      </w:r>
    </w:p>
    <w:p w14:paraId="293E6A2C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（一）资金全年预算数</w:t>
      </w:r>
    </w:p>
    <w:p w14:paraId="0A229ED5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年我市森林综合保险全年预算数</w:t>
      </w:r>
      <w:r>
        <w:rPr>
          <w:rFonts w:ascii="仿宋_GB2312" w:hAnsi="仿宋" w:eastAsia="仿宋_GB2312"/>
          <w:sz w:val="32"/>
          <w:szCs w:val="32"/>
        </w:rPr>
        <w:t>1145</w:t>
      </w:r>
      <w:r>
        <w:rPr>
          <w:rFonts w:hint="eastAsia" w:ascii="仿宋_GB2312" w:hAnsi="仿宋" w:eastAsia="仿宋_GB2312"/>
          <w:sz w:val="32"/>
          <w:szCs w:val="32"/>
        </w:rPr>
        <w:t>万元，其中：中央财政</w:t>
      </w:r>
      <w:r>
        <w:rPr>
          <w:rFonts w:ascii="仿宋_GB2312" w:hAnsi="仿宋" w:eastAsia="仿宋_GB2312"/>
          <w:sz w:val="32"/>
          <w:szCs w:val="32"/>
        </w:rPr>
        <w:t>670</w:t>
      </w:r>
      <w:r>
        <w:rPr>
          <w:rFonts w:hint="eastAsia" w:ascii="仿宋_GB2312" w:hAnsi="仿宋" w:eastAsia="仿宋_GB2312"/>
          <w:sz w:val="32"/>
          <w:szCs w:val="32"/>
        </w:rPr>
        <w:t>万元，省级财政</w:t>
      </w:r>
      <w:r>
        <w:rPr>
          <w:rFonts w:ascii="仿宋_GB2312" w:hAnsi="仿宋" w:eastAsia="仿宋_GB2312"/>
          <w:sz w:val="32"/>
          <w:szCs w:val="32"/>
        </w:rPr>
        <w:t>475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9CE58CC">
      <w:pPr>
        <w:spacing w:line="600" w:lineRule="exact"/>
        <w:ind w:firstLine="643" w:firstLineChars="200"/>
        <w:rPr>
          <w:rFonts w:hint="eastAsia" w:ascii="仿宋_GB2312" w:hAnsi="仿宋" w:eastAsia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（二）绩效目标分解情况</w:t>
      </w:r>
    </w:p>
    <w:p w14:paraId="0E182887"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1.产出指标（涉及指标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个）：中央财政保费补贴比例</w:t>
      </w:r>
      <w:r>
        <w:rPr>
          <w:rFonts w:ascii="仿宋_GB2312" w:hAnsi="仿宋" w:eastAsia="仿宋_GB2312"/>
          <w:sz w:val="32"/>
          <w:szCs w:val="32"/>
        </w:rPr>
        <w:t>35%-47.5</w:t>
      </w:r>
      <w:r>
        <w:rPr>
          <w:rFonts w:hint="eastAsia" w:ascii="仿宋_GB2312" w:hAnsi="仿宋" w:eastAsia="仿宋_GB2312"/>
          <w:sz w:val="32"/>
          <w:szCs w:val="32"/>
        </w:rPr>
        <w:t>%，绝对免赔额0，风险保障水平高于去年，接近直接物化成本，年度建设任务完成率。</w:t>
      </w:r>
    </w:p>
    <w:p w14:paraId="5AD44BA9"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2.效益指标（涉及指标3个）：风险保障总额高于去年，农业保险综合费用率≤20%，经办机构县级分支机构覆盖率100%。</w:t>
      </w:r>
    </w:p>
    <w:p w14:paraId="198501BB"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3.满意度指标（涉及指标2个）：承保理赔公示率100%，参保农户满意度≥80%。</w:t>
      </w:r>
    </w:p>
    <w:p w14:paraId="0651C111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（三）绩效评价分解情况</w:t>
      </w:r>
    </w:p>
    <w:p w14:paraId="24A51568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1.项目决策（涉及指标3个）：根据开展情况及时修订各险种保险工作方案，及时、合理调整保险金额和保险费率。</w:t>
      </w:r>
    </w:p>
    <w:p w14:paraId="2E80D419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2.项目管理（涉及指标8个）：资金到位率，保险补贴预决算，制度建设及执行，大灾风险管理，保险机构政策宣传和培训力度，理赔兑现率，监督检查开展情况，整改落实情况。</w:t>
      </w:r>
    </w:p>
    <w:p w14:paraId="56FD50AE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3.项目综合效益（涉及指标2个）：综合投保率，保险保障水平。</w:t>
      </w:r>
    </w:p>
    <w:p w14:paraId="3FB6A3C6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二、综合评价结论</w:t>
      </w:r>
    </w:p>
    <w:p w14:paraId="5FD864FA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森林综合保险为林农提供风险保障，切实增强了林农和林业企业抵御各类灾害风险的能力，促进林业和生态文明建设持续发展。</w:t>
      </w:r>
      <w:r>
        <w:rPr>
          <w:rFonts w:hint="eastAsia" w:ascii="仿宋_GB2312" w:hAnsi="仿宋" w:eastAsia="仿宋_GB2312"/>
          <w:sz w:val="32"/>
          <w:szCs w:val="32"/>
        </w:rPr>
        <w:t>涉及指标22项，完成指标19项，自评优秀（</w:t>
      </w:r>
      <w:r>
        <w:rPr>
          <w:rFonts w:ascii="仿宋_GB2312" w:hAnsi="仿宋" w:eastAsia="仿宋_GB2312"/>
          <w:sz w:val="32"/>
          <w:szCs w:val="32"/>
        </w:rPr>
        <w:t>90</w:t>
      </w:r>
      <w:r>
        <w:rPr>
          <w:rFonts w:hint="eastAsia" w:ascii="仿宋_GB2312" w:hAnsi="仿宋" w:eastAsia="仿宋_GB2312"/>
          <w:sz w:val="32"/>
          <w:szCs w:val="32"/>
        </w:rPr>
        <w:t>分）。</w:t>
      </w:r>
    </w:p>
    <w:p w14:paraId="6220DAE2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资金投入情况分析</w:t>
      </w:r>
    </w:p>
    <w:p w14:paraId="698E4490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全市预算数</w:t>
      </w:r>
      <w:r>
        <w:rPr>
          <w:rFonts w:ascii="仿宋_GB2312" w:hAnsi="仿宋" w:eastAsia="仿宋_GB2312"/>
          <w:sz w:val="32"/>
          <w:szCs w:val="32"/>
        </w:rPr>
        <w:t>1145</w:t>
      </w:r>
      <w:r>
        <w:rPr>
          <w:rFonts w:hint="eastAsia" w:ascii="仿宋_GB2312" w:hAnsi="仿宋" w:eastAsia="仿宋_GB2312"/>
          <w:sz w:val="32"/>
          <w:szCs w:val="32"/>
        </w:rPr>
        <w:t>万元，全年执行数</w:t>
      </w:r>
      <w:r>
        <w:rPr>
          <w:rFonts w:ascii="仿宋_GB2312" w:hAnsi="仿宋" w:eastAsia="仿宋_GB2312"/>
          <w:sz w:val="32"/>
          <w:szCs w:val="32"/>
        </w:rPr>
        <w:t>1144.05</w:t>
      </w:r>
      <w:r>
        <w:rPr>
          <w:rFonts w:hint="eastAsia" w:ascii="仿宋_GB2312" w:hAnsi="仿宋" w:eastAsia="仿宋_GB2312"/>
          <w:sz w:val="32"/>
          <w:szCs w:val="32"/>
        </w:rPr>
        <w:t>万元，执行率100%。其中：</w:t>
      </w:r>
    </w:p>
    <w:p w14:paraId="65363D66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1.中央保费补贴预算数</w:t>
      </w:r>
      <w:r>
        <w:rPr>
          <w:rFonts w:ascii="仿宋_GB2312" w:hAnsi="仿宋" w:eastAsia="仿宋_GB2312"/>
          <w:sz w:val="32"/>
          <w:szCs w:val="32"/>
        </w:rPr>
        <w:t>670</w:t>
      </w:r>
      <w:r>
        <w:rPr>
          <w:rFonts w:hint="eastAsia" w:ascii="仿宋_GB2312" w:hAnsi="仿宋" w:eastAsia="仿宋_GB2312"/>
          <w:sz w:val="32"/>
          <w:szCs w:val="32"/>
        </w:rPr>
        <w:t>万元，执行数</w:t>
      </w:r>
      <w:r>
        <w:rPr>
          <w:rFonts w:ascii="仿宋_GB2312" w:hAnsi="仿宋" w:eastAsia="仿宋_GB2312"/>
          <w:sz w:val="32"/>
          <w:szCs w:val="32"/>
        </w:rPr>
        <w:t>669.76</w:t>
      </w:r>
      <w:r>
        <w:rPr>
          <w:rFonts w:hint="eastAsia" w:ascii="仿宋_GB2312" w:hAnsi="仿宋" w:eastAsia="仿宋_GB2312"/>
          <w:sz w:val="32"/>
          <w:szCs w:val="32"/>
        </w:rPr>
        <w:t>万元，预算执行率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90D52B2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2.省级保费补贴预算数</w:t>
      </w:r>
      <w:r>
        <w:rPr>
          <w:rFonts w:ascii="仿宋_GB2312" w:hAnsi="仿宋" w:eastAsia="仿宋_GB2312"/>
          <w:sz w:val="32"/>
          <w:szCs w:val="32"/>
        </w:rPr>
        <w:t>475</w:t>
      </w:r>
      <w:r>
        <w:rPr>
          <w:rFonts w:hint="eastAsia" w:ascii="仿宋_GB2312" w:hAnsi="仿宋" w:eastAsia="仿宋_GB2312"/>
          <w:sz w:val="32"/>
          <w:szCs w:val="32"/>
        </w:rPr>
        <w:t>万元，执行数</w:t>
      </w:r>
      <w:r>
        <w:rPr>
          <w:rFonts w:ascii="仿宋_GB2312" w:hAnsi="仿宋" w:eastAsia="仿宋_GB2312"/>
          <w:sz w:val="32"/>
          <w:szCs w:val="32"/>
        </w:rPr>
        <w:t>474.29</w:t>
      </w:r>
      <w:r>
        <w:rPr>
          <w:rFonts w:hint="eastAsia" w:ascii="仿宋_GB2312" w:hAnsi="仿宋" w:eastAsia="仿宋_GB2312"/>
          <w:sz w:val="32"/>
          <w:szCs w:val="32"/>
        </w:rPr>
        <w:t>万元，预算执行率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40149E5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绩效指标完成情况分析</w:t>
      </w:r>
    </w:p>
    <w:p w14:paraId="5734B280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1.数量指标。中央财政保费补贴比例35%-47.5%，全年实际完成值39.</w:t>
      </w:r>
      <w:r>
        <w:rPr>
          <w:rFonts w:ascii="仿宋_GB2312" w:hAnsi="仿宋" w:eastAsia="仿宋_GB2312"/>
          <w:sz w:val="32"/>
          <w:szCs w:val="32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%，完成率100%。</w:t>
      </w:r>
    </w:p>
    <w:p w14:paraId="3401D00F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.质量指标。①绝对免赔额0，实际完成值与目标值一致，完成率100%；②风险保障水平高于去年，接近直接物化成本，实际完成值达到直接物化成本，完成率100%。③年度建设任务完成率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555BFD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3.经济效益指标。①风险保障总额高于去年，去年完成值113.13亿元，今年完成值</w:t>
      </w:r>
      <w:r>
        <w:rPr>
          <w:rFonts w:ascii="仿宋_GB2312" w:hAnsi="仿宋" w:eastAsia="仿宋_GB2312"/>
          <w:sz w:val="32"/>
          <w:szCs w:val="32"/>
        </w:rPr>
        <w:t>109.65</w:t>
      </w:r>
      <w:r>
        <w:rPr>
          <w:rFonts w:hint="eastAsia" w:ascii="仿宋_GB2312" w:hAnsi="仿宋" w:eastAsia="仿宋_GB2312"/>
          <w:sz w:val="32"/>
          <w:szCs w:val="32"/>
        </w:rPr>
        <w:t>亿元，完成率</w:t>
      </w:r>
      <w:r>
        <w:rPr>
          <w:rFonts w:ascii="仿宋_GB2312" w:hAnsi="仿宋" w:eastAsia="仿宋_GB2312"/>
          <w:sz w:val="32"/>
          <w:szCs w:val="32"/>
        </w:rPr>
        <w:t>96.9</w:t>
      </w:r>
      <w:r>
        <w:rPr>
          <w:rFonts w:hint="eastAsia" w:ascii="仿宋_GB2312" w:hAnsi="仿宋" w:eastAsia="仿宋_GB2312"/>
          <w:sz w:val="32"/>
          <w:szCs w:val="32"/>
        </w:rPr>
        <w:t>%；②农业保险综合费用率≤20%，实际完成值</w:t>
      </w:r>
      <w:r>
        <w:rPr>
          <w:rFonts w:ascii="仿宋_GB2312" w:hAnsi="仿宋" w:eastAsia="仿宋_GB2312"/>
          <w:sz w:val="32"/>
          <w:szCs w:val="32"/>
        </w:rPr>
        <w:t>13.47</w:t>
      </w:r>
      <w:r>
        <w:rPr>
          <w:rFonts w:hint="eastAsia" w:ascii="仿宋_GB2312" w:hAnsi="仿宋" w:eastAsia="仿宋_GB2312"/>
          <w:sz w:val="32"/>
          <w:szCs w:val="32"/>
        </w:rPr>
        <w:t>%，完成率100%。</w:t>
      </w:r>
    </w:p>
    <w:p w14:paraId="415F2C7C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4.社会效益指标。经办机构县级分支机构覆盖率100%，实际完成值100%，完成率100%。</w:t>
      </w:r>
    </w:p>
    <w:p w14:paraId="1F24BF57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5.服务对象满意度指标。①承保理赔公示率100%，实际完成值100%，完成率100%；②参保农户满意度≥80%，实际完成值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%，完成率</w:t>
      </w:r>
      <w:r>
        <w:rPr>
          <w:rFonts w:ascii="仿宋_GB2312" w:hAnsi="仿宋" w:eastAsia="仿宋_GB2312"/>
          <w:sz w:val="32"/>
          <w:szCs w:val="32"/>
        </w:rPr>
        <w:t>125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E39C86E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绩效评价完成情况分析</w:t>
      </w:r>
    </w:p>
    <w:p w14:paraId="79005348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1.根据开展情况及时修订各险种保险工作方案。保险方案要素齐全、补贴方案要素齐全、保障措施要素齐全，得10分。</w:t>
      </w:r>
    </w:p>
    <w:p w14:paraId="2CA85236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2.是否及时合理调整保险金额和保险费率。及时合理调整保险金额和保险费率，得10分。</w:t>
      </w:r>
    </w:p>
    <w:p w14:paraId="23416D50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3.补贴资金到位情况。中央、省级和市县财政应承担保费补贴资金到位率100%，得10分。</w:t>
      </w:r>
    </w:p>
    <w:p w14:paraId="2A08BC66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4.资金管理。规范森林保险保费补贴管理，按规定时间提交当年资金申请报告、上年度资金结算报告和下一年度补贴资金预算报告，得10分。</w:t>
      </w:r>
    </w:p>
    <w:p w14:paraId="6669FC6E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保险机构经营合规。①保险经办机构内控、财务、会计及森林保险承保、查勘、理赔制度健全，收支流程规范；对森林保险资金单独建帐、分险种核算；按规定及时上报上一年度森林保险并开展情况综合报告，得6分。②保险经办机构定期购买再保险，按规定提取大灾风险准备金，按规定使用大灾风险准备金，得4分。</w:t>
      </w:r>
    </w:p>
    <w:p w14:paraId="0197D920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6.保险机构政策宣传和培训力度。开展面上的政策宣传，开展点上宣传，开展培训，得10分。</w:t>
      </w:r>
    </w:p>
    <w:p w14:paraId="1CF3B4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7.保险机构服务能力。保险经办机构在规定时点理赔结案率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0%，得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分。</w:t>
      </w:r>
    </w:p>
    <w:p w14:paraId="1BFDF2D3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8.监督检查。①各级财政部门、各主管部门按照相关要求，定期对下级部门保险机构进行监督检查，得5分。②对检查发现的问题及时进行整改落实，得5分。</w:t>
      </w:r>
    </w:p>
    <w:p w14:paraId="3224B2BF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9.综合投保率。森林保险综合投保率</w:t>
      </w:r>
      <w:r>
        <w:rPr>
          <w:rFonts w:ascii="仿宋_GB2312" w:hAnsi="仿宋" w:eastAsia="仿宋_GB2312"/>
          <w:sz w:val="32"/>
          <w:szCs w:val="32"/>
        </w:rPr>
        <w:t>72.46</w:t>
      </w:r>
      <w:r>
        <w:rPr>
          <w:rFonts w:hint="eastAsia" w:ascii="仿宋_GB2312" w:hAnsi="仿宋" w:eastAsia="仿宋_GB2312"/>
          <w:sz w:val="32"/>
          <w:szCs w:val="32"/>
        </w:rPr>
        <w:t>%，得6分。</w:t>
      </w:r>
    </w:p>
    <w:p w14:paraId="4A426CA6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10.保险保障水平。保险保障水平100%，得10分。</w:t>
      </w:r>
    </w:p>
    <w:p w14:paraId="024F6287">
      <w:pPr>
        <w:numPr>
          <w:ilvl w:val="0"/>
          <w:numId w:val="1"/>
        </w:numPr>
        <w:spacing w:line="600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绩效评价分析</w:t>
      </w:r>
    </w:p>
    <w:p w14:paraId="5A47FF57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从上述情况看出我市森林综合保险工作完成情况较好，我市还将进一步优化完善森林综合保险运行机制，提升森林保险服务水平，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促进林业和生态文明建设持续发展。</w:t>
      </w:r>
    </w:p>
    <w:p w14:paraId="0BC621E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三、存在的问题和下一步改进措施</w:t>
      </w:r>
    </w:p>
    <w:p w14:paraId="71977109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存在的问题：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商品林保险覆盖面待提升；森林险理赔互动待强化。</w:t>
      </w:r>
    </w:p>
    <w:p w14:paraId="41F64040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1.加大保险政策宣传力度，普及林业保险知识，加大防灾减损宣传投入，进一步提高全民防火意识。2.提升承保理赔服务效能，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优化理赔流程，加大查勘工具投入，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建立森林保险专家库，提升服务质量。</w:t>
      </w:r>
    </w:p>
    <w:p w14:paraId="24F28D37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四、绩效评价结果应用和公开情况</w:t>
      </w:r>
    </w:p>
    <w:p w14:paraId="45753649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市主要将绩效评价结果应用于以下几个方面：①将绩效评价结果纳入年度考核，作为组织、人事、监察等部门评价工作、考核领导干部的重要依据之一；②认真分析评价结果，总结成功经验，巩固成绩，提高项目管理水平；③分析评价结果，明确存在问题，补缺补漏；④将绩效情况公开在林业局官网。</w:t>
      </w:r>
    </w:p>
    <w:p w14:paraId="043B7E69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五、其他需要说明情况</w:t>
      </w:r>
    </w:p>
    <w:p w14:paraId="26134D6C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</w:t>
      </w:r>
    </w:p>
    <w:p w14:paraId="13155E3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六、中央巡视各级审计和财政监督中发现的问题及其所涉及的金额</w:t>
      </w:r>
    </w:p>
    <w:p w14:paraId="3562464F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</w:t>
      </w:r>
    </w:p>
    <w:p w14:paraId="4DD618D5">
      <w:pPr>
        <w:spacing w:line="600" w:lineRule="exact"/>
        <w:textAlignment w:val="baseline"/>
        <w:rPr>
          <w:sz w:val="32"/>
          <w:szCs w:val="32"/>
        </w:rPr>
      </w:pPr>
    </w:p>
    <w:p w14:paraId="12691F46">
      <w:pPr>
        <w:spacing w:line="600" w:lineRule="exact"/>
        <w:ind w:left="1329" w:leftChars="633" w:firstLine="320" w:firstLineChars="100"/>
        <w:textAlignment w:val="baseline"/>
        <w:rPr>
          <w:rStyle w:val="9"/>
          <w:rFonts w:ascii="仿宋_GB2312" w:hAnsi="仿宋"/>
          <w:sz w:val="32"/>
          <w:szCs w:val="32"/>
        </w:rPr>
      </w:pPr>
    </w:p>
    <w:p w14:paraId="18175C0C">
      <w:pPr>
        <w:spacing w:line="600" w:lineRule="exact"/>
        <w:ind w:firstLine="640" w:firstLineChars="200"/>
        <w:textAlignment w:val="baseline"/>
        <w:rPr>
          <w:rStyle w:val="9"/>
          <w:rFonts w:ascii="仿宋_GB2312" w:hAnsi="仿宋"/>
          <w:sz w:val="32"/>
          <w:szCs w:val="32"/>
        </w:rPr>
      </w:pPr>
      <w:r>
        <w:rPr>
          <w:rStyle w:val="9"/>
          <w:rFonts w:hint="eastAsia" w:ascii="仿宋_GB2312" w:hAnsi="仿宋"/>
          <w:sz w:val="32"/>
          <w:szCs w:val="32"/>
        </w:rPr>
        <w:t xml:space="preserve">   </w:t>
      </w:r>
    </w:p>
    <w:p w14:paraId="413702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E78E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5224B"/>
    <w:multiLevelType w:val="singleLevel"/>
    <w:tmpl w:val="46F522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656D2"/>
    <w:rsid w:val="5B263845"/>
    <w:rsid w:val="A7F65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宋体"/>
      <w:sz w:val="32"/>
    </w:r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widowControl/>
      <w:spacing w:beforeAutospacing="1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customStyle="1" w:styleId="9">
    <w:name w:val="NormalCharacter"/>
    <w:link w:val="10"/>
    <w:qFormat/>
    <w:uiPriority w:val="0"/>
    <w:rPr>
      <w:kern w:val="2"/>
      <w:sz w:val="21"/>
      <w:szCs w:val="20"/>
    </w:rPr>
  </w:style>
  <w:style w:type="paragraph" w:customStyle="1" w:styleId="10">
    <w:name w:val="UserStyle_5"/>
    <w:basedOn w:val="1"/>
    <w:link w:val="9"/>
    <w:qFormat/>
    <w:uiPriority w:val="0"/>
    <w:pPr>
      <w:textAlignment w:val="baseline"/>
    </w:pPr>
    <w:rPr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1809</Words>
  <Characters>1995</Characters>
  <Lines>0</Lines>
  <Paragraphs>0</Paragraphs>
  <TotalTime>0</TotalTime>
  <ScaleCrop>false</ScaleCrop>
  <LinksUpToDate>false</LinksUpToDate>
  <CharactersWithSpaces>1998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2025-04-17T17:00:00Z</dcterms:created>
  <dc:creator>宁德市林业局收文</dc:creator>
  <cp:lastModifiedBy>四尾</cp:lastModifiedBy>
  <dcterms:modified xsi:type="dcterms:W3CDTF">2025-04-17T09:14:30Z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5D58CA9824394434A5631614E505E12F_13</vt:lpwstr>
  </property>
</Properties>
</file>