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宁德市202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年度省级财政</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林业经济发展专项资金绩效自评报告</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一、基本情况</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楷体" w:hAnsi="楷体" w:eastAsia="楷体" w:cs="楷体"/>
          <w:sz w:val="32"/>
          <w:szCs w:val="32"/>
        </w:rPr>
      </w:pPr>
      <w:r>
        <w:rPr>
          <w:rFonts w:hint="eastAsia" w:ascii="楷体" w:hAnsi="楷体" w:eastAsia="楷体" w:cs="楷体"/>
          <w:b/>
          <w:bCs/>
          <w:sz w:val="32"/>
          <w:szCs w:val="32"/>
        </w:rPr>
        <w:t>（一）项目概况</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hint="eastAsia" w:ascii="仿宋_GB2312" w:hAnsi="仿宋_GB2312" w:eastAsia="仿宋_GB2312" w:cs="仿宋_GB2312"/>
          <w:bCs/>
          <w:color w:val="000000"/>
          <w:kern w:val="36"/>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rPr>
        <w:t>省级</w:t>
      </w:r>
      <w:r>
        <w:rPr>
          <w:rFonts w:hint="eastAsia" w:ascii="仿宋_GB2312" w:hAnsi="仿宋_GB2312" w:eastAsia="仿宋_GB2312" w:cs="仿宋_GB2312"/>
          <w:sz w:val="32"/>
          <w:szCs w:val="32"/>
        </w:rPr>
        <w:t>财政拨付林业经济发展资金</w:t>
      </w:r>
      <w:r>
        <w:rPr>
          <w:rFonts w:hint="eastAsia" w:ascii="仿宋_GB2312" w:hAnsi="仿宋_GB2312" w:eastAsia="仿宋_GB2312" w:cs="仿宋_GB2312"/>
          <w:sz w:val="32"/>
          <w:szCs w:val="32"/>
          <w:lang w:val="en-US" w:eastAsia="zh-CN"/>
        </w:rPr>
        <w:t>2229.36</w:t>
      </w:r>
      <w:r>
        <w:rPr>
          <w:rFonts w:hint="eastAsia" w:ascii="仿宋_GB2312" w:hAnsi="仿宋_GB2312" w:eastAsia="仿宋_GB2312" w:cs="仿宋_GB2312"/>
          <w:sz w:val="32"/>
          <w:szCs w:val="32"/>
        </w:rPr>
        <w:t>万元。其中：竹产业发展</w:t>
      </w:r>
      <w:r>
        <w:rPr>
          <w:rFonts w:hint="eastAsia" w:ascii="仿宋_GB2312" w:hAnsi="仿宋_GB2312" w:eastAsia="仿宋_GB2312" w:cs="仿宋_GB2312"/>
          <w:sz w:val="32"/>
          <w:szCs w:val="32"/>
          <w:lang w:val="en-US" w:eastAsia="zh-CN"/>
        </w:rPr>
        <w:t>319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花卉产业发展</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林下经济利用</w:t>
      </w:r>
      <w:r>
        <w:rPr>
          <w:rFonts w:hint="eastAsia"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新型经营主体标准化建设2</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万元，“三多”改革示范建设</w:t>
      </w:r>
      <w:r>
        <w:rPr>
          <w:rFonts w:hint="eastAsia" w:ascii="仿宋_GB2312" w:hAnsi="仿宋_GB2312" w:eastAsia="仿宋_GB2312" w:cs="仿宋_GB2312"/>
          <w:sz w:val="32"/>
          <w:szCs w:val="32"/>
          <w:lang w:val="en-US" w:eastAsia="zh-CN"/>
        </w:rPr>
        <w:t>74万元、</w:t>
      </w:r>
      <w:r>
        <w:rPr>
          <w:rFonts w:hint="eastAsia" w:ascii="仿宋_GB2312" w:hAnsi="仿宋_GB2312" w:eastAsia="仿宋_GB2312" w:cs="仿宋_GB2312"/>
          <w:sz w:val="32"/>
          <w:szCs w:val="32"/>
        </w:rPr>
        <w:t>林业科技</w:t>
      </w:r>
      <w:r>
        <w:rPr>
          <w:rFonts w:hint="eastAsia" w:ascii="仿宋_GB2312" w:hAnsi="仿宋_GB2312" w:eastAsia="仿宋_GB2312" w:cs="仿宋_GB2312"/>
          <w:sz w:val="32"/>
          <w:szCs w:val="32"/>
          <w:lang w:val="en-US" w:eastAsia="zh-CN"/>
        </w:rPr>
        <w:t>35万元、</w:t>
      </w:r>
      <w:r>
        <w:rPr>
          <w:rFonts w:hint="eastAsia" w:ascii="仿宋_GB2312" w:hAnsi="仿宋_GB2312" w:eastAsia="仿宋_GB2312" w:cs="仿宋_GB2312"/>
          <w:sz w:val="32"/>
          <w:szCs w:val="32"/>
        </w:rPr>
        <w:t>县域产业发展资金261万元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林业贷款贴息</w:t>
      </w:r>
      <w:r>
        <w:rPr>
          <w:rFonts w:hint="eastAsia" w:ascii="仿宋_GB2312" w:hAnsi="仿宋_GB2312" w:eastAsia="仿宋_GB2312" w:cs="仿宋_GB2312"/>
          <w:sz w:val="32"/>
          <w:szCs w:val="32"/>
          <w:lang w:val="en-US" w:eastAsia="zh-CN"/>
        </w:rPr>
        <w:t>11.36</w:t>
      </w:r>
      <w:r>
        <w:rPr>
          <w:rFonts w:hint="eastAsia" w:ascii="仿宋_GB2312" w:hAnsi="仿宋_GB2312" w:eastAsia="仿宋_GB2312" w:cs="仿宋_GB2312"/>
          <w:sz w:val="32"/>
          <w:szCs w:val="32"/>
        </w:rPr>
        <w:t>万元。目前</w:t>
      </w:r>
      <w:r>
        <w:rPr>
          <w:rFonts w:hint="eastAsia" w:ascii="仿宋_GB2312" w:hAnsi="仿宋_GB2312" w:eastAsia="仿宋_GB2312" w:cs="仿宋_GB2312"/>
          <w:sz w:val="32"/>
          <w:szCs w:val="32"/>
          <w:lang w:eastAsia="zh-CN"/>
        </w:rPr>
        <w:t>全市执行数</w:t>
      </w:r>
      <w:r>
        <w:rPr>
          <w:rFonts w:hint="eastAsia" w:ascii="仿宋_GB2312" w:hAnsi="仿宋_GB2312" w:eastAsia="仿宋_GB2312" w:cs="仿宋_GB2312"/>
          <w:sz w:val="32"/>
          <w:szCs w:val="32"/>
          <w:lang w:val="en-US" w:eastAsia="zh-CN"/>
        </w:rPr>
        <w:t>1522.42</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68.29</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楷体" w:hAnsi="楷体" w:eastAsia="楷体" w:cs="楷体"/>
          <w:b/>
          <w:bCs/>
          <w:sz w:val="32"/>
          <w:szCs w:val="32"/>
          <w:highlight w:val="none"/>
        </w:rPr>
      </w:pPr>
      <w:r>
        <w:rPr>
          <w:rFonts w:hint="eastAsia" w:ascii="楷体" w:hAnsi="楷体" w:eastAsia="楷体" w:cs="楷体"/>
          <w:b/>
          <w:bCs/>
          <w:sz w:val="32"/>
          <w:szCs w:val="32"/>
          <w:highlight w:val="none"/>
        </w:rPr>
        <w:t>（二）项目绩效目标</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成本指标</w:t>
      </w:r>
      <w:r>
        <w:rPr>
          <w:rFonts w:hint="eastAsia" w:ascii="仿宋_GB2312" w:hAnsi="仿宋" w:eastAsia="仿宋_GB2312"/>
          <w:sz w:val="32"/>
          <w:szCs w:val="32"/>
          <w:highlight w:val="none"/>
        </w:rPr>
        <w:t>（涉及指标1个）:</w:t>
      </w:r>
      <w:r>
        <w:rPr>
          <w:rFonts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t>经济成本指标</w:t>
      </w:r>
      <w:r>
        <w:rPr>
          <w:rFonts w:hint="eastAsia" w:ascii="仿宋_GB2312" w:hAnsi="仿宋_GB2312" w:eastAsia="仿宋_GB2312" w:cs="仿宋_GB2312"/>
          <w:sz w:val="32"/>
          <w:szCs w:val="32"/>
          <w:highlight w:val="none"/>
          <w:lang w:eastAsia="zh-CN"/>
        </w:rPr>
        <w:t>：投入资金控制率≤100</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产出指标</w:t>
      </w:r>
      <w:r>
        <w:rPr>
          <w:rFonts w:hint="eastAsia" w:ascii="仿宋_GB2312" w:hAnsi="仿宋" w:eastAsia="仿宋_GB2312"/>
          <w:sz w:val="32"/>
          <w:szCs w:val="32"/>
          <w:highlight w:val="none"/>
        </w:rPr>
        <w:t>（涉及指标1</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个）:</w:t>
      </w:r>
      <w:r>
        <w:rPr>
          <w:rFonts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t>数量指标：扶持林业专业合作社、家庭林场、家庭合作林场、股份林场等数量≥11家；补助科研项目≥1个；推广先进、成熟、实用技术及科技成果数量≥1个；竹山机耕道建设≥200公里；新建花卉温室大棚面积≥4万亩；丰产竹林基地建设面积≥1万亩；新增林下经济基地面积≥0.96万亩；</w:t>
      </w:r>
      <w:r>
        <w:rPr>
          <w:rFonts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t>质量指标：</w:t>
      </w:r>
      <w:r>
        <w:rPr>
          <w:rFonts w:hint="eastAsia" w:ascii="仿宋_GB2312" w:hAnsi="仿宋_GB2312" w:eastAsia="仿宋_GB2312" w:cs="仿宋_GB2312"/>
          <w:sz w:val="32"/>
          <w:szCs w:val="32"/>
          <w:highlight w:val="none"/>
          <w:lang w:val="en-US" w:eastAsia="zh-CN"/>
        </w:rPr>
        <w:t>县级以上林下经济示范基地面积达标率≥90%；新型林业经营主体标准化建设项目实施单位经营规模达标率≥90%；科研成果验收合格率≥95%；新建花卉温室大棚建设质量合格率≥90%</w:t>
      </w:r>
      <w:r>
        <w:rPr>
          <w:rFonts w:hint="eastAsia" w:ascii="仿宋_GB2312" w:hAnsi="仿宋_GB2312" w:eastAsia="仿宋_GB2312" w:cs="仿宋_GB2312"/>
          <w:sz w:val="32"/>
          <w:szCs w:val="32"/>
          <w:highlight w:val="none"/>
        </w:rPr>
        <w:t>；③时效指标：项目任务完成率≥90%。</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.效益指标</w:t>
      </w:r>
      <w:r>
        <w:rPr>
          <w:rFonts w:hint="eastAsia" w:ascii="仿宋_GB2312" w:hAnsi="仿宋_GB2312" w:eastAsia="仿宋_GB2312" w:cs="仿宋_GB2312"/>
          <w:sz w:val="32"/>
          <w:szCs w:val="32"/>
          <w:highlight w:val="none"/>
        </w:rPr>
        <w:t>（涉及指标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w:t>
      </w:r>
      <w:r>
        <w:rPr>
          <w:rFonts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lang w:val="en-US" w:eastAsia="zh-CN"/>
        </w:rPr>
        <w:t>经济效益指标：带动全省花卉苗木全产业链总产值提升≥3.07亿元，实现竹产业产值持续发展≥6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t>社会效益指标：新型林业经营主体标准化建设项目参与户数量≥</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增加</w:t>
      </w:r>
      <w:r>
        <w:rPr>
          <w:rFonts w:hint="eastAsia" w:ascii="仿宋_GB2312" w:hAnsi="仿宋_GB2312" w:eastAsia="仿宋_GB2312" w:cs="仿宋_GB2312"/>
          <w:sz w:val="32"/>
          <w:szCs w:val="32"/>
          <w:highlight w:val="none"/>
          <w:lang w:eastAsia="zh-CN"/>
        </w:rPr>
        <w:t>受益花卉企业数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3个，增加受益竹农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800人</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.满意度指标</w:t>
      </w:r>
      <w:r>
        <w:rPr>
          <w:rFonts w:hint="eastAsia" w:ascii="仿宋_GB2312" w:hAnsi="仿宋" w:eastAsia="仿宋_GB2312"/>
          <w:sz w:val="32"/>
          <w:szCs w:val="32"/>
          <w:highlight w:val="none"/>
        </w:rPr>
        <w:t>（涉及指标</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个）</w:t>
      </w:r>
      <w:r>
        <w:rPr>
          <w:rFonts w:hint="eastAsia" w:ascii="仿宋_GB2312" w:hAnsi="仿宋_GB2312" w:eastAsia="仿宋_GB2312" w:cs="仿宋_GB2312"/>
          <w:sz w:val="32"/>
          <w:szCs w:val="32"/>
          <w:highlight w:val="none"/>
        </w:rPr>
        <w:t>：科研参与者满意度≥90%，</w:t>
      </w:r>
      <w:r>
        <w:rPr>
          <w:rFonts w:hint="eastAsia" w:ascii="仿宋_GB2312" w:hAnsi="仿宋_GB2312" w:eastAsia="仿宋_GB2312" w:cs="仿宋_GB2312"/>
          <w:color w:val="000000" w:themeColor="text1"/>
          <w:sz w:val="32"/>
          <w:szCs w:val="32"/>
          <w:highlight w:val="none"/>
          <w14:textFill>
            <w14:solidFill>
              <w14:schemeClr w14:val="tx1"/>
            </w14:solidFill>
          </w14:textFill>
        </w:rPr>
        <w:t>服务对象满意度</w:t>
      </w:r>
      <w:r>
        <w:rPr>
          <w:rFonts w:hint="eastAsia" w:ascii="仿宋_GB2312" w:hAnsi="仿宋_GB2312" w:eastAsia="仿宋_GB2312" w:cs="仿宋_GB2312"/>
          <w:sz w:val="32"/>
          <w:szCs w:val="32"/>
          <w:highlight w:val="none"/>
        </w:rPr>
        <w:t>≥90%，经营主体满意度≥90%，</w:t>
      </w:r>
      <w:r>
        <w:rPr>
          <w:rFonts w:hint="eastAsia" w:ascii="仿宋_GB2312" w:hAnsi="仿宋_GB2312" w:eastAsia="仿宋_GB2312" w:cs="仿宋_GB2312"/>
          <w:sz w:val="32"/>
          <w:szCs w:val="32"/>
          <w:highlight w:val="none"/>
          <w:lang w:val="en-US" w:eastAsia="zh-CN"/>
        </w:rPr>
        <w:t>林农满意度</w:t>
      </w:r>
      <w:r>
        <w:rPr>
          <w:rFonts w:hint="eastAsia" w:ascii="仿宋_GB2312" w:hAnsi="仿宋_GB2312" w:eastAsia="仿宋_GB2312" w:cs="仿宋_GB2312"/>
          <w:sz w:val="32"/>
          <w:szCs w:val="32"/>
          <w:highlight w:val="none"/>
        </w:rPr>
        <w:t>≥90%。</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二、绩效评价工作开展情况</w:t>
      </w:r>
    </w:p>
    <w:p>
      <w:pPr>
        <w:pStyle w:val="5"/>
        <w:keepNext w:val="0"/>
        <w:keepLines w:val="0"/>
        <w:pageBreakBefore w:val="0"/>
        <w:shd w:val="clear" w:color="auto" w:fill="FFFFFF"/>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（一）绩效评价目的、对象和范围。</w:t>
      </w:r>
      <w:r>
        <w:rPr>
          <w:rFonts w:hint="eastAsia" w:ascii="仿宋_GB2312" w:hAnsi="仿宋_GB2312" w:eastAsia="仿宋_GB2312" w:cs="仿宋_GB2312"/>
          <w:sz w:val="32"/>
          <w:szCs w:val="32"/>
        </w:rPr>
        <w:t>绩效评价目的是</w:t>
      </w:r>
      <w:r>
        <w:rPr>
          <w:rFonts w:hint="eastAsia" w:ascii="仿宋_GB2312" w:hAnsi="微软雅黑" w:eastAsia="仿宋_GB2312"/>
          <w:color w:val="333333"/>
          <w:sz w:val="32"/>
          <w:szCs w:val="32"/>
        </w:rPr>
        <w:t>树立绩效管理理念，强化预算意识，提高财政资金使用效益，提升单位内部预算、财务、资产等方面的管理水平。</w:t>
      </w:r>
      <w:r>
        <w:rPr>
          <w:rFonts w:hint="eastAsia" w:ascii="仿宋_GB2312" w:hAnsi="Arial" w:eastAsia="仿宋_GB2312" w:cs="Arial"/>
          <w:color w:val="333333"/>
          <w:sz w:val="32"/>
          <w:szCs w:val="32"/>
          <w:shd w:val="clear" w:color="auto" w:fill="FFFFFF"/>
        </w:rPr>
        <w:t>绩效评价的对象，包括各县（市、区）林业经济发展财政性资金。绩效评价内容：有绩效目标完成情况，财政资金使用情况，为加强管理所制定的相关制度、采取的措施等，绩效目标的实现程度，包括是否达到预定产出和效果等。</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（二）绩效评价原则、评价指标体系、评价方法、评价标准等。</w:t>
      </w:r>
      <w:r>
        <w:rPr>
          <w:rFonts w:hint="eastAsia" w:ascii="仿宋_GB2312" w:hAnsi="仿宋_GB2312" w:eastAsia="仿宋_GB2312" w:cs="仿宋_GB2312"/>
          <w:sz w:val="32"/>
          <w:szCs w:val="32"/>
        </w:rPr>
        <w:t>绩效评价按照</w:t>
      </w:r>
      <w:r>
        <w:rPr>
          <w:rFonts w:hint="eastAsia" w:ascii="仿宋_GB2312" w:hAnsi="Arial" w:eastAsia="仿宋_GB2312" w:cs="Arial"/>
          <w:color w:val="333333"/>
          <w:sz w:val="32"/>
          <w:szCs w:val="32"/>
          <w:shd w:val="clear" w:color="auto" w:fill="FFFFFF"/>
        </w:rPr>
        <w:t>科学规范、公开公正、分级分类原则。评价指标包括了</w:t>
      </w:r>
      <w:r>
        <w:rPr>
          <w:rFonts w:hint="eastAsia" w:ascii="仿宋_GB2312" w:hAnsi="Arial" w:eastAsia="仿宋_GB2312" w:cs="Arial"/>
          <w:color w:val="333333"/>
          <w:sz w:val="32"/>
          <w:szCs w:val="32"/>
          <w:shd w:val="clear" w:color="auto" w:fill="FFFFFF"/>
          <w:lang w:eastAsia="zh-CN"/>
        </w:rPr>
        <w:t>成本方面、产出</w:t>
      </w:r>
      <w:r>
        <w:rPr>
          <w:rFonts w:hint="eastAsia" w:ascii="仿宋_GB2312" w:hAnsi="Arial" w:eastAsia="仿宋_GB2312" w:cs="Arial"/>
          <w:color w:val="333333"/>
          <w:sz w:val="32"/>
          <w:szCs w:val="32"/>
          <w:shd w:val="clear" w:color="auto" w:fill="FFFFFF"/>
        </w:rPr>
        <w:t>方面、社会效益、生态效益。共设产出、效益、满意度</w:t>
      </w:r>
      <w:r>
        <w:rPr>
          <w:rFonts w:hint="eastAsia" w:ascii="仿宋_GB2312" w:hAnsi="Arial" w:eastAsia="仿宋_GB2312" w:cs="Arial"/>
          <w:color w:val="333333"/>
          <w:sz w:val="32"/>
          <w:szCs w:val="32"/>
          <w:shd w:val="clear" w:color="auto" w:fill="FFFFFF"/>
          <w:lang w:val="en-US" w:eastAsia="zh-CN"/>
        </w:rPr>
        <w:t>4</w:t>
      </w:r>
      <w:r>
        <w:rPr>
          <w:rFonts w:hint="eastAsia" w:ascii="仿宋_GB2312" w:hAnsi="Arial" w:eastAsia="仿宋_GB2312" w:cs="Arial"/>
          <w:color w:val="333333"/>
          <w:sz w:val="32"/>
          <w:szCs w:val="32"/>
          <w:shd w:val="clear" w:color="auto" w:fill="FFFFFF"/>
        </w:rPr>
        <w:t>个一级指标，</w:t>
      </w:r>
      <w:r>
        <w:rPr>
          <w:rFonts w:hint="eastAsia" w:ascii="仿宋_GB2312" w:hAnsi="Arial" w:eastAsia="仿宋_GB2312" w:cs="Arial"/>
          <w:color w:val="333333"/>
          <w:sz w:val="32"/>
          <w:szCs w:val="32"/>
          <w:shd w:val="clear" w:color="auto" w:fill="FFFFFF"/>
          <w:lang w:val="en-US" w:eastAsia="zh-CN"/>
        </w:rPr>
        <w:t>7</w:t>
      </w:r>
      <w:r>
        <w:rPr>
          <w:rFonts w:hint="eastAsia" w:ascii="仿宋_GB2312" w:hAnsi="Arial" w:eastAsia="仿宋_GB2312" w:cs="Arial"/>
          <w:color w:val="333333"/>
          <w:sz w:val="32"/>
          <w:szCs w:val="32"/>
          <w:shd w:val="clear" w:color="auto" w:fill="FFFFFF"/>
        </w:rPr>
        <w:t>个二级指标，2</w:t>
      </w:r>
      <w:r>
        <w:rPr>
          <w:rFonts w:hint="eastAsia" w:ascii="仿宋_GB2312" w:hAnsi="Arial" w:eastAsia="仿宋_GB2312" w:cs="Arial"/>
          <w:color w:val="333333"/>
          <w:sz w:val="32"/>
          <w:szCs w:val="32"/>
          <w:shd w:val="clear" w:color="auto" w:fill="FFFFFF"/>
          <w:lang w:val="en-US" w:eastAsia="zh-CN"/>
        </w:rPr>
        <w:t>2</w:t>
      </w:r>
      <w:r>
        <w:rPr>
          <w:rFonts w:hint="eastAsia" w:ascii="仿宋_GB2312" w:hAnsi="Arial" w:eastAsia="仿宋_GB2312" w:cs="Arial"/>
          <w:color w:val="333333"/>
          <w:sz w:val="32"/>
          <w:szCs w:val="32"/>
          <w:shd w:val="clear" w:color="auto" w:fill="FFFFFF"/>
        </w:rPr>
        <w:t>个三级指标。</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（三）绩效评价工作过程。</w:t>
      </w:r>
      <w:r>
        <w:rPr>
          <w:rFonts w:hint="eastAsia" w:ascii="仿宋_GB2312" w:hAnsi="仿宋_GB2312" w:eastAsia="仿宋_GB2312" w:cs="仿宋_GB2312"/>
          <w:sz w:val="32"/>
          <w:szCs w:val="32"/>
        </w:rPr>
        <w:t>通过任务下达，项目实施指导、实施质量检查、任务完成情况自查、资金使用情况、社会满意度调查等过程，进行评价。</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（一）综合评价得分</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96.83</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优</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（二）主要指标得分</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成本指标：</w:t>
      </w:r>
      <w:r>
        <w:rPr>
          <w:rFonts w:hint="eastAsia" w:ascii="仿宋_GB2312" w:hAnsi="仿宋_GB2312" w:eastAsia="仿宋_GB2312" w:cs="仿宋_GB2312"/>
          <w:sz w:val="32"/>
          <w:szCs w:val="32"/>
          <w:highlight w:val="none"/>
          <w:lang w:val="en-US" w:eastAsia="zh-CN"/>
        </w:rPr>
        <w:t>投入资金控制率</w:t>
      </w:r>
      <w:r>
        <w:rPr>
          <w:rFonts w:hint="eastAsia" w:ascii="仿宋_GB2312" w:hAnsi="仿宋_GB2312" w:eastAsia="仿宋_GB2312" w:cs="仿宋_GB2312"/>
          <w:sz w:val="32"/>
          <w:szCs w:val="32"/>
          <w:highlight w:val="none"/>
          <w:lang w:eastAsia="zh-CN"/>
        </w:rPr>
        <w:t>≤100</w:t>
      </w:r>
      <w:r>
        <w:rPr>
          <w:rFonts w:hint="eastAsia" w:ascii="仿宋_GB2312" w:hAnsi="仿宋_GB2312" w:eastAsia="仿宋_GB2312" w:cs="仿宋_GB2312"/>
          <w:sz w:val="32"/>
          <w:szCs w:val="32"/>
          <w:highlight w:val="none"/>
          <w:lang w:val="en-US" w:eastAsia="zh-CN"/>
        </w:rPr>
        <w:t>%，完成值100%，得满分。</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数量指标：</w:t>
      </w:r>
      <w:r>
        <w:rPr>
          <w:rFonts w:hint="eastAsia" w:ascii="仿宋_GB2312" w:hAnsi="仿宋_GB2312" w:eastAsia="仿宋_GB2312" w:cs="仿宋_GB2312"/>
          <w:sz w:val="32"/>
          <w:szCs w:val="32"/>
          <w:highlight w:val="none"/>
        </w:rPr>
        <w:t>扶持林业专业合作社、家庭林场、家庭合作林场、股份林场等数量≥11家，实际完成11家，</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；补助科研项目≥1个，实际完成1个，</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；推广先进、成熟、实用技术及科技成果数量≥1个，实际完成1个，</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；竹山机耕道建设≥200公里，实际完成200公里，</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；新建花卉温室大棚面积≥4万㎡，实际完成4.0</w:t>
      </w:r>
      <w:r>
        <w:rPr>
          <w:rFonts w:hint="eastAsia" w:ascii="仿宋_GB2312" w:hAnsi="仿宋_GB2312" w:eastAsia="仿宋_GB2312" w:cs="仿宋_GB2312"/>
          <w:sz w:val="32"/>
          <w:szCs w:val="32"/>
          <w:highlight w:val="none"/>
          <w:lang w:val="en-US" w:eastAsia="zh-CN"/>
        </w:rPr>
        <w:t>496</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；丰产竹林基地建设面积≥1万亩，实际完成1万亩，</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；新增林下经济基地面积≥0.96万亩，实际完成1.1956万亩，</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.质量指标：</w:t>
      </w:r>
      <w:r>
        <w:rPr>
          <w:rFonts w:hint="eastAsia" w:ascii="仿宋_GB2312" w:hAnsi="仿宋_GB2312" w:eastAsia="仿宋_GB2312" w:cs="仿宋_GB2312"/>
          <w:sz w:val="32"/>
          <w:szCs w:val="32"/>
          <w:highlight w:val="none"/>
        </w:rPr>
        <w:t>县级以上林下经济示范基地面积达标率≥90%，实际完成98%，</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；新型林业经营主体标准化建设项目实施单位经营规模达标率≥90%，实际完成100%，</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；科研成果验收合格率≥95%，实际完成95%，</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rPr>
        <w:t>；新建花卉温室大棚建设质量合格率≥90%，实际完成100%，</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.时效指标：</w:t>
      </w:r>
      <w:r>
        <w:rPr>
          <w:rFonts w:hint="eastAsia" w:ascii="仿宋_GB2312" w:hAnsi="仿宋_GB2312" w:eastAsia="仿宋_GB2312" w:cs="仿宋_GB2312"/>
          <w:sz w:val="32"/>
          <w:szCs w:val="32"/>
          <w:highlight w:val="none"/>
        </w:rPr>
        <w:t>项目任务完成率≥90%，实际完成97%，</w:t>
      </w:r>
      <w:r>
        <w:rPr>
          <w:rFonts w:hint="eastAsia" w:ascii="仿宋_GB2312" w:hAnsi="仿宋_GB2312" w:eastAsia="仿宋_GB2312" w:cs="仿宋_GB2312"/>
          <w:sz w:val="32"/>
          <w:szCs w:val="32"/>
          <w:highlight w:val="none"/>
          <w:lang w:val="en-US" w:eastAsia="zh-CN"/>
        </w:rPr>
        <w:t>得满分</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.效益指标:</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经济效益指标：带动全省花卉苗木全产业链总产值提升≥3.07亿元，实际完成3.1亿元，得满分；实现竹产业产值持续发展≥6%，实际完成6%，得满分；</w:t>
      </w:r>
      <w:r>
        <w:rPr>
          <w:rFonts w:hint="eastAsia" w:ascii="仿宋_GB2312" w:hAnsi="仿宋_GB2312" w:eastAsia="仿宋_GB2312" w:cs="仿宋_GB2312"/>
          <w:sz w:val="32"/>
          <w:szCs w:val="32"/>
          <w:highlight w:val="none"/>
        </w:rPr>
        <w:t>社会效益指标</w:t>
      </w:r>
      <w:r>
        <w:rPr>
          <w:rFonts w:hint="eastAsia" w:ascii="仿宋_GB2312" w:hAnsi="仿宋_GB2312" w:eastAsia="仿宋_GB2312" w:cs="仿宋_GB2312"/>
          <w:sz w:val="32"/>
          <w:szCs w:val="32"/>
          <w:highlight w:val="none"/>
          <w:lang w:val="en-US" w:eastAsia="zh-CN"/>
        </w:rPr>
        <w:t>：新型林业经营主体标准化建设项目参与户数量≥150户，实际完成181户，得满分；受益花卉企业数≥3个，实际完成5个，得满分；受益林农≥800人，实际完成900人，得满分。</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.满意度指标</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lang w:val="en-US" w:eastAsia="zh-CN"/>
        </w:rPr>
        <w:t>科研参与者满意度≥90%，实际完成95%，得满分；服务对象满意度≥90%，实际完成94%，得满分；经营主体满意度≥90%，实际完成95%，得满分；林农满意度≥90%，实际完成95%，得满分。</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四、绩效评价指标分析</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宋体" w:eastAsia="仿宋_GB2312"/>
          <w:sz w:val="32"/>
          <w:szCs w:val="32"/>
          <w:highlight w:val="none"/>
          <w:lang w:eastAsia="zh-CN"/>
        </w:rPr>
      </w:pPr>
      <w:r>
        <w:rPr>
          <w:rFonts w:hint="eastAsia" w:ascii="楷体" w:hAnsi="楷体" w:eastAsia="楷体" w:cs="楷体"/>
          <w:b/>
          <w:bCs/>
          <w:sz w:val="32"/>
          <w:szCs w:val="32"/>
          <w:highlight w:val="none"/>
        </w:rPr>
        <w:t>（一）项目决策情况</w:t>
      </w:r>
      <w:r>
        <w:rPr>
          <w:rFonts w:hint="eastAsia" w:ascii="楷体" w:hAnsi="楷体" w:eastAsia="楷体" w:cs="楷体"/>
          <w:b/>
          <w:bCs/>
          <w:sz w:val="32"/>
          <w:szCs w:val="32"/>
          <w:highlight w:val="none"/>
          <w:lang w:eastAsia="zh-CN"/>
        </w:rPr>
        <w:t>。</w:t>
      </w:r>
      <w:r>
        <w:rPr>
          <w:rFonts w:hint="eastAsia" w:ascii="仿宋_GB2312" w:hAnsi="宋体" w:eastAsia="仿宋_GB2312"/>
          <w:sz w:val="32"/>
          <w:szCs w:val="32"/>
          <w:highlight w:val="none"/>
          <w:lang w:eastAsia="zh-CN"/>
        </w:rPr>
        <w:t>福建省财政厅、福建省林业局通过闽财资环指〔202</w:t>
      </w: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45号、</w:t>
      </w:r>
      <w:r>
        <w:rPr>
          <w:rFonts w:hint="eastAsia" w:ascii="仿宋_GB2312" w:hAnsi="宋体" w:eastAsia="仿宋_GB2312"/>
          <w:sz w:val="32"/>
          <w:szCs w:val="32"/>
          <w:highlight w:val="none"/>
          <w:lang w:eastAsia="zh-CN"/>
        </w:rPr>
        <w:t>4</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lang w:eastAsia="zh-CN"/>
        </w:rPr>
        <w:t>号，闽财资环指〔202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15</w:t>
      </w:r>
      <w:r>
        <w:rPr>
          <w:rFonts w:hint="eastAsia" w:ascii="仿宋_GB2312" w:hAnsi="宋体" w:eastAsia="仿宋_GB2312"/>
          <w:sz w:val="32"/>
          <w:szCs w:val="32"/>
          <w:highlight w:val="none"/>
          <w:lang w:eastAsia="zh-CN"/>
        </w:rPr>
        <w:t>号、下达宁德市202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lang w:eastAsia="zh-CN"/>
        </w:rPr>
        <w:t>年度省级财政林业经济发展资金</w:t>
      </w:r>
      <w:r>
        <w:rPr>
          <w:rFonts w:hint="eastAsia" w:ascii="仿宋_GB2312" w:hAnsi="宋体" w:eastAsia="仿宋_GB2312"/>
          <w:sz w:val="32"/>
          <w:szCs w:val="32"/>
          <w:highlight w:val="none"/>
          <w:lang w:val="en-US" w:eastAsia="zh-CN"/>
        </w:rPr>
        <w:t>2229.36</w:t>
      </w:r>
      <w:r>
        <w:rPr>
          <w:rFonts w:hint="eastAsia" w:ascii="仿宋_GB2312" w:hAnsi="宋体" w:eastAsia="仿宋_GB2312"/>
          <w:sz w:val="32"/>
          <w:szCs w:val="32"/>
          <w:highlight w:val="none"/>
          <w:lang w:eastAsia="zh-CN"/>
        </w:rPr>
        <w:t>万元。宁德市林业局通过宁财资环指〔202</w:t>
      </w:r>
      <w:r>
        <w:rPr>
          <w:rFonts w:hint="eastAsia" w:ascii="仿宋_GB2312" w:hAnsi="宋体" w:eastAsia="仿宋_GB2312"/>
          <w:sz w:val="32"/>
          <w:szCs w:val="32"/>
          <w:highlight w:val="none"/>
          <w:lang w:val="en-US" w:eastAsia="zh-CN"/>
        </w:rPr>
        <w:t>3</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37</w:t>
      </w:r>
      <w:r>
        <w:rPr>
          <w:rFonts w:hint="eastAsia" w:ascii="仿宋_GB2312" w:hAnsi="宋体" w:eastAsia="仿宋_GB2312"/>
          <w:sz w:val="32"/>
          <w:szCs w:val="32"/>
          <w:highlight w:val="none"/>
          <w:lang w:eastAsia="zh-CN"/>
        </w:rPr>
        <w:t>号、〔202</w:t>
      </w:r>
      <w:r>
        <w:rPr>
          <w:rFonts w:hint="eastAsia" w:ascii="仿宋_GB2312" w:hAnsi="宋体" w:eastAsia="仿宋_GB2312"/>
          <w:sz w:val="32"/>
          <w:szCs w:val="32"/>
          <w:highlight w:val="none"/>
          <w:lang w:val="en-US" w:eastAsia="zh-CN"/>
        </w:rPr>
        <w:t>4</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26</w:t>
      </w:r>
      <w:r>
        <w:rPr>
          <w:rFonts w:hint="eastAsia" w:ascii="仿宋_GB2312" w:hAnsi="宋体" w:eastAsia="仿宋_GB2312"/>
          <w:sz w:val="32"/>
          <w:szCs w:val="32"/>
          <w:highlight w:val="none"/>
          <w:lang w:eastAsia="zh-CN"/>
        </w:rPr>
        <w:t>号，分解下达辖区县、市（区）林业局</w:t>
      </w:r>
      <w:r>
        <w:rPr>
          <w:rFonts w:hint="eastAsia" w:ascii="仿宋_GB2312" w:hAnsi="宋体" w:eastAsia="仿宋_GB2312"/>
          <w:sz w:val="32"/>
          <w:szCs w:val="32"/>
          <w:highlight w:val="none"/>
          <w:lang w:val="en-US" w:eastAsia="zh-CN"/>
        </w:rPr>
        <w:t>1129.79万元</w:t>
      </w:r>
      <w:r>
        <w:rPr>
          <w:rFonts w:hint="eastAsia" w:ascii="仿宋_GB2312" w:hAnsi="宋体" w:eastAsia="仿宋_GB2312"/>
          <w:sz w:val="32"/>
          <w:szCs w:val="32"/>
          <w:highlight w:val="none"/>
          <w:lang w:eastAsia="zh-CN"/>
        </w:rPr>
        <w:t>，资金分配符合国家法律法规和政策等要求，程序规范。</w:t>
      </w:r>
    </w:p>
    <w:p>
      <w:pPr>
        <w:keepNext w:val="0"/>
        <w:keepLines w:val="0"/>
        <w:pageBreakBefore w:val="0"/>
        <w:widowControl w:val="0"/>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highlight w:val="none"/>
        </w:rPr>
      </w:pPr>
      <w:r>
        <w:rPr>
          <w:rFonts w:hint="eastAsia" w:ascii="楷体" w:hAnsi="楷体" w:eastAsia="楷体" w:cs="楷体"/>
          <w:b/>
          <w:bCs/>
          <w:sz w:val="32"/>
          <w:szCs w:val="32"/>
          <w:highlight w:val="none"/>
        </w:rPr>
        <w:t>（二）项目过程情况。</w:t>
      </w:r>
      <w:r>
        <w:rPr>
          <w:rFonts w:hint="eastAsia" w:ascii="仿宋_GB2312" w:hAnsi="仿宋_GB2312" w:eastAsia="仿宋_GB2312" w:cs="仿宋_GB2312"/>
          <w:sz w:val="32"/>
          <w:szCs w:val="32"/>
          <w:highlight w:val="none"/>
        </w:rPr>
        <w:t>一是加强监督指导。在项目实施前，深入各地调研了解项目实施可行性，确保项目落地即可开工实施。在实施过程中，开展技术指导，督促检查，质量抽查等工作。在项目实施后，加强促进项目投产，发挥效益。二是强化进度调度。采取一月一调度，一季一汇总，半年一总结，确保项目实施进度时时掌握。三是加强业务培训。按照年度规划，适时开展林业经济和科技推广等项目培训班4次，不断提高从业人员管理水平和业务能力，确保项目顺利实施。</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bCs/>
          <w:sz w:val="32"/>
          <w:szCs w:val="32"/>
        </w:rPr>
        <w:t>（三）项目产出情况。</w:t>
      </w:r>
      <w:r>
        <w:rPr>
          <w:rFonts w:hint="eastAsia" w:ascii="仿宋_GB2312" w:hAnsi="仿宋_GB2312" w:eastAsia="仿宋_GB2312" w:cs="仿宋_GB2312"/>
          <w:sz w:val="32"/>
          <w:szCs w:val="32"/>
          <w:highlight w:val="none"/>
        </w:rPr>
        <w:t>扶持林业专业合作社、家庭林场、家庭合作林场、股份林场等数量11家，补</w:t>
      </w:r>
      <w:bookmarkStart w:id="0" w:name="_GoBack"/>
      <w:bookmarkEnd w:id="0"/>
      <w:r>
        <w:rPr>
          <w:rFonts w:hint="eastAsia" w:ascii="仿宋_GB2312" w:hAnsi="仿宋_GB2312" w:eastAsia="仿宋_GB2312" w:cs="仿宋_GB2312"/>
          <w:sz w:val="32"/>
          <w:szCs w:val="32"/>
          <w:highlight w:val="none"/>
        </w:rPr>
        <w:t>助科研项目1个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推广先进、成熟、实用技术及科技成果数量1个，竹山机耕道建设200公里，新建花卉温室大棚面积4.0</w:t>
      </w:r>
      <w:r>
        <w:rPr>
          <w:rFonts w:hint="eastAsia" w:ascii="仿宋_GB2312" w:hAnsi="仿宋_GB2312" w:eastAsia="仿宋_GB2312" w:cs="仿宋_GB2312"/>
          <w:sz w:val="32"/>
          <w:szCs w:val="32"/>
          <w:highlight w:val="none"/>
          <w:lang w:val="en-US" w:eastAsia="zh-CN"/>
        </w:rPr>
        <w:t>496</w:t>
      </w:r>
      <w:r>
        <w:rPr>
          <w:rFonts w:hint="eastAsia" w:ascii="仿宋_GB2312" w:hAnsi="仿宋_GB2312" w:eastAsia="仿宋_GB2312" w:cs="仿宋_GB2312"/>
          <w:sz w:val="32"/>
          <w:szCs w:val="32"/>
          <w:highlight w:val="none"/>
        </w:rPr>
        <w:t>万㎡，丰产竹林基地建设面积1万亩，新增林下经济基地面积1.1956万亩，县级以上林下经济示范基地面积达标率98%，新型林业经营主体标准化建设项目实施单位经营规模达标率100%，科研成果验收合格率95%，新建花卉温室大棚建设质量合格率100%，项目任务完成率97%</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ascii="仿宋_GB2312" w:hAnsi="仿宋_GB2312" w:eastAsia="仿宋_GB2312" w:cs="仿宋_GB2312"/>
          <w:sz w:val="32"/>
          <w:szCs w:val="32"/>
        </w:rPr>
      </w:pPr>
      <w:r>
        <w:rPr>
          <w:rFonts w:hint="eastAsia" w:ascii="楷体" w:hAnsi="楷体" w:eastAsia="楷体" w:cs="楷体"/>
          <w:b/>
          <w:bCs/>
          <w:sz w:val="32"/>
          <w:szCs w:val="32"/>
        </w:rPr>
        <w:t>（四）项目效益情况。</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带动全省花卉苗木全产业链总产值提升3.1亿元，实现竹产业产值持续发展6%，新型林业经营主体标准化建设项目参与户数量181户，受益花卉企业数5个，受益林农900人。</w:t>
      </w:r>
    </w:p>
    <w:p>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五、主要经验及做法、存在的问题及原因分析</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（一）</w:t>
      </w:r>
      <w:r>
        <w:rPr>
          <w:rFonts w:hint="eastAsia" w:ascii="楷体" w:hAnsi="楷体" w:eastAsia="楷体" w:cs="楷体"/>
          <w:b/>
          <w:bCs/>
          <w:sz w:val="32"/>
          <w:szCs w:val="32"/>
          <w:highlight w:val="none"/>
        </w:rPr>
        <w:t>花卉产业发展</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shd w:val="clear" w:color="auto" w:fill="FFFFFF"/>
          <w:lang w:val="en-US" w:eastAsia="zh-CN" w:bidi="ar-SA"/>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主要经验及做法</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shd w:val="clear" w:color="auto" w:fill="FFFFFF"/>
          <w:lang w:val="en-US" w:eastAsia="zh-CN" w:bidi="ar-SA"/>
        </w:rPr>
        <w:t>一是大力发展花卉设施。积极支持企业新建花卉设施大棚，提升花卉培育基础设施。2021年以来累计争取省、市财政资金4405万元，完成22.8万平方米大棚建设。二是推进花卉产业园建设。完成屏南棠口花卉产业园智能温室170亩，入驻5家企业，总投资1.1亿元。推进浦源花卉小镇建设，建成花卉设施近400亩，入驻企业8家，花卉年产值4600多万元。三是强化科技赋能创新。推进市政府与云南省农科院续签花卉产业创新发展战略合作协议，签订宁德市林业局与云南省农科院花卉研究所花卉产业服务合同，开展种苗花卉创新。四是构建特色花卉品牌。组织花企参加各大展会，借助云南农科院展销平台提升宁德高山冷凉花卉知名度，有效推动霞浦附石盆景、高山冷凉花卉走向全国。</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存在问题及原因分析</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受“非农化、非粮化”政策影响，</w:t>
      </w:r>
      <w:r>
        <w:rPr>
          <w:rFonts w:hint="eastAsia" w:ascii="仿宋_GB2312" w:hAnsi="仿宋_GB2312" w:eastAsia="仿宋_GB2312" w:cs="仿宋_GB2312"/>
          <w:snapToGrid w:val="0"/>
          <w:sz w:val="32"/>
          <w:szCs w:val="32"/>
          <w:highlight w:val="none"/>
        </w:rPr>
        <w:t>花卉产业发展项目用地紧缩，花卉企业用地难度较大，设施花卉面积提升较慢</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napToGrid/>
        <w:spacing w:line="600" w:lineRule="exact"/>
        <w:ind w:firstLine="642" w:firstLineChars="200"/>
        <w:jc w:val="both"/>
        <w:textAlignment w:val="auto"/>
        <w:rPr>
          <w:rFonts w:hint="eastAsia" w:ascii="仿宋_GB2312" w:hAnsi="仿宋_GB2312" w:eastAsia="仿宋_GB2312" w:cs="仿宋_GB2312"/>
          <w:sz w:val="32"/>
          <w:szCs w:val="32"/>
          <w:highlight w:val="none"/>
          <w:shd w:val="clear" w:color="auto" w:fill="FFFFFF"/>
          <w:lang w:val="en-US" w:eastAsia="zh-CN" w:bidi="ar-SA"/>
        </w:rPr>
      </w:pPr>
      <w:r>
        <w:rPr>
          <w:rFonts w:hint="eastAsia" w:ascii="仿宋_GB2312" w:hAnsi="仿宋_GB2312" w:eastAsia="仿宋_GB2312" w:cs="仿宋_GB2312"/>
          <w:b/>
          <w:bCs/>
          <w:sz w:val="32"/>
          <w:szCs w:val="32"/>
          <w:highlight w:val="none"/>
          <w:lang w:val="en-US" w:eastAsia="zh-CN"/>
        </w:rPr>
        <w:t>3.改进措施。</w:t>
      </w:r>
      <w:r>
        <w:rPr>
          <w:rFonts w:hint="eastAsia" w:ascii="仿宋_GB2312" w:hAnsi="仿宋_GB2312" w:eastAsia="仿宋_GB2312" w:cs="仿宋_GB2312"/>
          <w:b w:val="0"/>
          <w:bCs w:val="0"/>
          <w:sz w:val="32"/>
          <w:szCs w:val="32"/>
          <w:highlight w:val="none"/>
        </w:rPr>
        <w:t>一是加强项目指导。在项目立项前严格审查实施单位的实施条件，资金下达前再次现场调研确认实施条件，建设环节加强方案编制、施工等指导，项目验收后开展抽验，确保花卉项目按时完成。二是提前谋划，加大引导力度。加大“非农化、非粮化”政策宣传，严把耕地关口，引导花卉企业多渠道解决用地问题，提前做好用地备案、审批、项目储备工作，促进花卉产业发展。</w:t>
      </w:r>
    </w:p>
    <w:p>
      <w:pPr>
        <w:keepNext w:val="0"/>
        <w:keepLines w:val="0"/>
        <w:pageBreakBefore w:val="0"/>
        <w:tabs>
          <w:tab w:val="left" w:pos="360"/>
        </w:tabs>
        <w:kinsoku/>
        <w:wordWrap/>
        <w:overflowPunct/>
        <w:topLinePunct w:val="0"/>
        <w:autoSpaceDE/>
        <w:autoSpaceDN/>
        <w:bidi w:val="0"/>
        <w:snapToGrid/>
        <w:spacing w:line="600" w:lineRule="exact"/>
        <w:ind w:firstLine="642" w:firstLineChars="200"/>
        <w:jc w:val="both"/>
        <w:textAlignment w:val="auto"/>
        <w:outlineLvl w:val="2"/>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（二）</w:t>
      </w:r>
      <w:r>
        <w:rPr>
          <w:rFonts w:hint="eastAsia" w:ascii="楷体" w:hAnsi="楷体" w:eastAsia="楷体" w:cs="楷体"/>
          <w:b/>
          <w:bCs/>
          <w:color w:val="auto"/>
          <w:sz w:val="32"/>
          <w:szCs w:val="32"/>
          <w:highlight w:val="none"/>
        </w:rPr>
        <w:t>林下经济发展</w:t>
      </w:r>
    </w:p>
    <w:p>
      <w:pPr>
        <w:keepNext w:val="0"/>
        <w:keepLines w:val="0"/>
        <w:pageBreakBefore w:val="0"/>
        <w:tabs>
          <w:tab w:val="left" w:pos="360"/>
        </w:tabs>
        <w:kinsoku/>
        <w:wordWrap/>
        <w:overflowPunct/>
        <w:topLinePunct w:val="0"/>
        <w:autoSpaceDE/>
        <w:autoSpaceDN/>
        <w:bidi w:val="0"/>
        <w:snapToGrid/>
        <w:spacing w:line="600" w:lineRule="exact"/>
        <w:ind w:firstLine="642" w:firstLineChars="200"/>
        <w:jc w:val="both"/>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主要经验及做法</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一是强化政策扶持。</w:t>
      </w:r>
      <w:r>
        <w:rPr>
          <w:rFonts w:hint="eastAsia" w:ascii="仿宋_GB2312" w:hAnsi="仿宋_GB2312" w:eastAsia="仿宋_GB2312" w:cs="仿宋_GB2312"/>
          <w:color w:val="auto"/>
          <w:kern w:val="0"/>
          <w:sz w:val="32"/>
          <w:szCs w:val="32"/>
          <w:highlight w:val="none"/>
          <w:shd w:val="clear" w:color="auto" w:fill="FFFFFF"/>
          <w:lang w:val="en-US" w:eastAsia="zh-CN"/>
        </w:rPr>
        <w:t>积极争取省里支持，</w:t>
      </w:r>
      <w:r>
        <w:rPr>
          <w:rFonts w:hint="eastAsia"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5</w:t>
      </w:r>
      <w:r>
        <w:rPr>
          <w:rFonts w:hint="eastAsia"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7</w:t>
      </w:r>
      <w:r>
        <w:rPr>
          <w:rFonts w:hint="eastAsia" w:ascii="仿宋_GB2312" w:hAnsi="仿宋_GB2312" w:eastAsia="仿宋_GB2312" w:cs="仿宋_GB2312"/>
          <w:color w:val="auto"/>
          <w:kern w:val="0"/>
          <w:sz w:val="32"/>
          <w:szCs w:val="32"/>
          <w:highlight w:val="none"/>
          <w:shd w:val="clear" w:color="auto" w:fill="FFFFFF"/>
        </w:rPr>
        <w:t>年屏南、周宁、寿宁、福安、柘荣</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lang w:val="en-US" w:eastAsia="zh-CN"/>
        </w:rPr>
        <w:t>福鼎</w:t>
      </w:r>
      <w:r>
        <w:rPr>
          <w:rFonts w:hint="eastAsia" w:ascii="仿宋_GB2312" w:hAnsi="仿宋_GB2312" w:eastAsia="仿宋_GB2312" w:cs="仿宋_GB2312"/>
          <w:color w:val="auto"/>
          <w:kern w:val="0"/>
          <w:sz w:val="32"/>
          <w:szCs w:val="32"/>
          <w:highlight w:val="none"/>
          <w:shd w:val="clear" w:color="auto" w:fill="FFFFFF"/>
        </w:rPr>
        <w:t>等</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县市被列为“省级林下经济重点县”予以</w:t>
      </w:r>
      <w:r>
        <w:rPr>
          <w:rFonts w:hint="eastAsia" w:ascii="仿宋_GB2312" w:hAnsi="仿宋_GB2312" w:eastAsia="仿宋_GB2312" w:cs="仿宋_GB2312"/>
          <w:color w:val="auto"/>
          <w:kern w:val="0"/>
          <w:sz w:val="32"/>
          <w:szCs w:val="32"/>
          <w:highlight w:val="none"/>
          <w:shd w:val="clear" w:color="auto" w:fill="FFFFFF"/>
          <w:lang w:eastAsia="zh-CN"/>
        </w:rPr>
        <w:t>推进</w:t>
      </w:r>
      <w:r>
        <w:rPr>
          <w:rFonts w:hint="eastAsia" w:ascii="仿宋_GB2312" w:hAnsi="仿宋_GB2312" w:eastAsia="仿宋_GB2312" w:cs="仿宋_GB2312"/>
          <w:color w:val="auto"/>
          <w:kern w:val="0"/>
          <w:sz w:val="32"/>
          <w:szCs w:val="32"/>
          <w:highlight w:val="none"/>
          <w:shd w:val="clear" w:color="auto" w:fill="FFFFFF"/>
        </w:rPr>
        <w:t>，柘荣东源乡、福安松罗乡、屏南长桥镇和寿宁清源镇先后创</w:t>
      </w:r>
      <w:r>
        <w:rPr>
          <w:rFonts w:hint="eastAsia" w:ascii="仿宋_GB2312" w:hAnsi="仿宋_GB2312" w:eastAsia="仿宋_GB2312" w:cs="仿宋_GB2312"/>
          <w:color w:val="auto"/>
          <w:kern w:val="0"/>
          <w:sz w:val="32"/>
          <w:szCs w:val="32"/>
          <w:highlight w:val="none"/>
          <w:shd w:val="clear" w:color="auto" w:fill="FFFFFF"/>
          <w:lang w:eastAsia="zh-CN"/>
        </w:rPr>
        <w:t>成</w:t>
      </w:r>
      <w:r>
        <w:rPr>
          <w:rFonts w:hint="eastAsia" w:ascii="仿宋_GB2312" w:hAnsi="仿宋_GB2312" w:eastAsia="仿宋_GB2312" w:cs="仿宋_GB2312"/>
          <w:color w:val="auto"/>
          <w:kern w:val="0"/>
          <w:sz w:val="32"/>
          <w:szCs w:val="32"/>
          <w:highlight w:val="none"/>
          <w:shd w:val="clear" w:color="auto" w:fill="FFFFFF"/>
        </w:rPr>
        <w:t>“省级林下经济重点乡镇”</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lang w:val="en-US" w:eastAsia="zh-CN"/>
        </w:rPr>
        <w:t>二是加强科技创新。</w:t>
      </w:r>
      <w:r>
        <w:rPr>
          <w:rFonts w:hint="eastAsia" w:ascii="仿宋_GB2312" w:hAnsi="仿宋_GB2312" w:eastAsia="仿宋_GB2312" w:cs="仿宋_GB2312"/>
          <w:color w:val="auto"/>
          <w:sz w:val="32"/>
          <w:szCs w:val="32"/>
          <w:highlight w:val="none"/>
        </w:rPr>
        <w:t>引导林下经济经营主体与科研机构、龙头企业合作，提高林下产品科技含量。柘荣县峰其岗农业专业合作社加强与省农科院合作将林下中药材基地列入省农科院生物资源研究所育苗实验基地，与福建农林大学合作，开展黄精、毛药花种苗繁育及乡土品种选优、建立种质资源基因库，并成功申报省林业科技推广项目；屏南县利用山苍子提取物开发出深得市场喜爱的“澄新博士”精油洗护系列产品，提高山苍子产品附加值；福鼎市与扬子江药业集团签署了栀子产业战略框架协议，努力打造“产供销一条龙”服务的完整链条。</w:t>
      </w:r>
      <w:r>
        <w:rPr>
          <w:rFonts w:hint="eastAsia" w:ascii="仿宋_GB2312" w:hAnsi="仿宋_GB2312" w:eastAsia="仿宋_GB2312" w:cs="仿宋_GB2312"/>
          <w:b/>
          <w:bCs/>
          <w:color w:val="auto"/>
          <w:kern w:val="0"/>
          <w:sz w:val="32"/>
          <w:szCs w:val="32"/>
          <w:highlight w:val="none"/>
          <w:lang w:val="en-US" w:eastAsia="zh-CN"/>
        </w:rPr>
        <w:t>三是加大宣传力度。</w:t>
      </w:r>
      <w:r>
        <w:rPr>
          <w:rFonts w:hint="eastAsia" w:ascii="仿宋_GB2312" w:hAnsi="仿宋_GB2312" w:eastAsia="仿宋_GB2312" w:cs="仿宋_GB2312"/>
          <w:color w:val="auto"/>
          <w:sz w:val="32"/>
          <w:szCs w:val="32"/>
          <w:highlight w:val="none"/>
        </w:rPr>
        <w:t>年初下发关于做好林下经济工作的通知，部署林下经济工作，制作“宁德市林业局林下经济发展宣传活动”“发展林下经济 拓宽致富门路”等横幅并编印《宁德市林下经济技术宣传手册》，结合3.12义务植树节”在城区公园宣传林下经济相关政策。主动深入林区、山场开展现场指导宣传活动，向林农讲解发展林下经济的意义、技术、政策等。</w:t>
      </w:r>
    </w:p>
    <w:p>
      <w:pPr>
        <w:pStyle w:val="2"/>
        <w:keepNext w:val="0"/>
        <w:keepLines w:val="0"/>
        <w:pageBreakBefore w:val="0"/>
        <w:kinsoku/>
        <w:wordWrap/>
        <w:overflowPunct/>
        <w:topLinePunct w:val="0"/>
        <w:autoSpaceDE/>
        <w:autoSpaceDN/>
        <w:bidi w:val="0"/>
        <w:snapToGrid/>
        <w:spacing w:line="600" w:lineRule="exact"/>
        <w:ind w:left="0" w:right="0" w:rightChars="0" w:firstLine="642"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存在问题及原因分析</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一是</w:t>
      </w:r>
      <w:r>
        <w:rPr>
          <w:rFonts w:hint="eastAsia" w:ascii="仿宋_GB2312" w:hAnsi="仿宋_GB2312" w:eastAsia="仿宋_GB2312" w:cs="仿宋_GB2312"/>
          <w:color w:val="auto"/>
          <w:kern w:val="0"/>
          <w:sz w:val="32"/>
          <w:szCs w:val="32"/>
          <w:highlight w:val="none"/>
          <w:lang w:val="en-US" w:eastAsia="zh-CN"/>
        </w:rPr>
        <w:t>林下经济产业多以一产种植为主，产品附加值低，二产加工产业化程度不高，三产融合不够，龙头企业、龙头产品数量不多等问题。</w:t>
      </w:r>
      <w:r>
        <w:rPr>
          <w:rFonts w:hint="eastAsia" w:ascii="仿宋_GB2312" w:hAnsi="仿宋_GB2312" w:eastAsia="仿宋_GB2312" w:cs="仿宋_GB2312"/>
          <w:b/>
          <w:bCs/>
          <w:color w:val="auto"/>
          <w:kern w:val="0"/>
          <w:sz w:val="32"/>
          <w:szCs w:val="32"/>
          <w:highlight w:val="none"/>
          <w:lang w:val="en-US" w:eastAsia="zh-CN"/>
        </w:rPr>
        <w:t>二是</w:t>
      </w:r>
      <w:r>
        <w:rPr>
          <w:rFonts w:hint="eastAsia" w:ascii="仿宋_GB2312" w:hAnsi="仿宋_GB2312" w:eastAsia="仿宋_GB2312" w:cs="仿宋_GB2312"/>
          <w:color w:val="auto"/>
          <w:kern w:val="0"/>
          <w:sz w:val="32"/>
          <w:szCs w:val="32"/>
          <w:highlight w:val="none"/>
        </w:rPr>
        <w:t>林下经济受气候、技术、市场等各种因素影响较大，加之种植时间长、投入大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存在较大的经营风险和压力。</w:t>
      </w:r>
    </w:p>
    <w:p>
      <w:pPr>
        <w:keepNext w:val="0"/>
        <w:keepLines w:val="0"/>
        <w:pageBreakBefore w:val="0"/>
        <w:kinsoku/>
        <w:wordWrap/>
        <w:overflowPunct/>
        <w:topLinePunct w:val="0"/>
        <w:autoSpaceDE/>
        <w:autoSpaceDN/>
        <w:bidi w:val="0"/>
        <w:snapToGrid/>
        <w:spacing w:line="600" w:lineRule="exact"/>
        <w:ind w:left="0" w:right="0" w:rightChars="0"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3.改进措施。</w:t>
      </w:r>
      <w:r>
        <w:rPr>
          <w:rFonts w:hint="eastAsia" w:ascii="仿宋_GB2312" w:hAnsi="仿宋_GB2312" w:eastAsia="仿宋_GB2312" w:cs="仿宋_GB2312"/>
          <w:b/>
          <w:bCs/>
          <w:color w:val="auto"/>
          <w:kern w:val="0"/>
          <w:sz w:val="32"/>
          <w:szCs w:val="32"/>
          <w:highlight w:val="none"/>
          <w:lang w:eastAsia="zh-CN"/>
        </w:rPr>
        <w:t>一是</w:t>
      </w:r>
      <w:r>
        <w:rPr>
          <w:rFonts w:hint="eastAsia" w:ascii="仿宋_GB2312" w:hAnsi="仿宋_GB2312" w:eastAsia="仿宋_GB2312" w:cs="仿宋_GB2312"/>
          <w:color w:val="auto"/>
          <w:kern w:val="0"/>
          <w:sz w:val="32"/>
          <w:szCs w:val="32"/>
          <w:highlight w:val="none"/>
        </w:rPr>
        <w:t>引导龙头企业与林业专业合作社、林农等经营主体以股份式、合作式、订单式等模式建立紧密的利益联结机制，提高林农组织化水平和抗风险能力。</w:t>
      </w:r>
      <w:r>
        <w:rPr>
          <w:rFonts w:hint="eastAsia" w:ascii="仿宋_GB2312" w:hAnsi="仿宋_GB2312" w:eastAsia="仿宋_GB2312" w:cs="仿宋_GB2312"/>
          <w:b/>
          <w:bCs/>
          <w:color w:val="auto"/>
          <w:kern w:val="0"/>
          <w:sz w:val="32"/>
          <w:szCs w:val="32"/>
          <w:highlight w:val="none"/>
          <w:lang w:val="en-US" w:eastAsia="zh-CN"/>
        </w:rPr>
        <w:t>二</w:t>
      </w:r>
      <w:r>
        <w:rPr>
          <w:rFonts w:hint="eastAsia" w:ascii="仿宋_GB2312" w:hAnsi="仿宋_GB2312" w:eastAsia="仿宋_GB2312" w:cs="仿宋_GB2312"/>
          <w:b/>
          <w:bCs/>
          <w:color w:val="auto"/>
          <w:kern w:val="0"/>
          <w:sz w:val="32"/>
          <w:szCs w:val="32"/>
          <w:highlight w:val="none"/>
          <w:lang w:eastAsia="zh-CN"/>
        </w:rPr>
        <w:t>是</w:t>
      </w:r>
      <w:r>
        <w:rPr>
          <w:rFonts w:hint="eastAsia" w:ascii="仿宋_GB2312" w:hAnsi="仿宋_GB2312" w:eastAsia="仿宋_GB2312" w:cs="仿宋_GB2312"/>
          <w:color w:val="auto"/>
          <w:kern w:val="0"/>
          <w:sz w:val="32"/>
          <w:szCs w:val="32"/>
          <w:highlight w:val="none"/>
          <w:lang w:eastAsia="zh-CN"/>
        </w:rPr>
        <w:t>在政策扶持、产业引导、经营主体培育、技术创新等方面发力，持续打造一批特色鲜明、带动能力强的林下经济基地，逐步形成规模化、产业化的绿色新业态。</w:t>
      </w:r>
    </w:p>
    <w:p>
      <w:pPr>
        <w:pStyle w:val="2"/>
        <w:keepNext w:val="0"/>
        <w:keepLines w:val="0"/>
        <w:pageBreakBefore w:val="0"/>
        <w:kinsoku/>
        <w:wordWrap/>
        <w:overflowPunct/>
        <w:topLinePunct w:val="0"/>
        <w:autoSpaceDE/>
        <w:autoSpaceDN/>
        <w:bidi w:val="0"/>
        <w:snapToGrid/>
        <w:spacing w:line="600" w:lineRule="exact"/>
        <w:ind w:right="0" w:rightChars="0"/>
        <w:jc w:val="both"/>
        <w:textAlignment w:val="auto"/>
        <w:rPr>
          <w:rFonts w:hint="eastAsia" w:ascii="仿宋_GB2312" w:hAnsi="仿宋_GB2312" w:eastAsia="仿宋_GB2312" w:cs="仿宋_GB2312"/>
          <w:color w:val="auto"/>
          <w:kern w:val="0"/>
          <w:sz w:val="32"/>
          <w:szCs w:val="32"/>
          <w:highlight w:val="yellow"/>
        </w:rPr>
      </w:pPr>
    </w:p>
    <w:p>
      <w:pPr>
        <w:keepNext w:val="0"/>
        <w:keepLines w:val="0"/>
        <w:pageBreakBefore w:val="0"/>
        <w:kinsoku/>
        <w:wordWrap/>
        <w:overflowPunct/>
        <w:topLinePunct w:val="0"/>
        <w:autoSpaceDE/>
        <w:autoSpaceDN/>
        <w:bidi w:val="0"/>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spacing w:line="600" w:lineRule="exact"/>
        <w:jc w:val="both"/>
        <w:textAlignment w:val="auto"/>
        <w:rPr>
          <w:color w:val="auto"/>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ZGU4M2EzYzRiMzkxNWJjMmY5NzUxNmE0N2E0MzQifQ=="/>
  </w:docVars>
  <w:rsids>
    <w:rsidRoot w:val="002A076A"/>
    <w:rsid w:val="00015050"/>
    <w:rsid w:val="0007216B"/>
    <w:rsid w:val="000B6F60"/>
    <w:rsid w:val="000C5709"/>
    <w:rsid w:val="0011273E"/>
    <w:rsid w:val="0012671D"/>
    <w:rsid w:val="00137C28"/>
    <w:rsid w:val="001711A9"/>
    <w:rsid w:val="00196727"/>
    <w:rsid w:val="00213087"/>
    <w:rsid w:val="00215403"/>
    <w:rsid w:val="00252A62"/>
    <w:rsid w:val="002A076A"/>
    <w:rsid w:val="002E2A93"/>
    <w:rsid w:val="002F3E6E"/>
    <w:rsid w:val="00347B87"/>
    <w:rsid w:val="003835AF"/>
    <w:rsid w:val="00392D3E"/>
    <w:rsid w:val="00435D2C"/>
    <w:rsid w:val="00491E2A"/>
    <w:rsid w:val="004A4D16"/>
    <w:rsid w:val="004E2F0F"/>
    <w:rsid w:val="0053168A"/>
    <w:rsid w:val="00564BE8"/>
    <w:rsid w:val="00577B71"/>
    <w:rsid w:val="00596852"/>
    <w:rsid w:val="005A0F94"/>
    <w:rsid w:val="005D260F"/>
    <w:rsid w:val="005D68D0"/>
    <w:rsid w:val="005F0487"/>
    <w:rsid w:val="00673E22"/>
    <w:rsid w:val="00754F58"/>
    <w:rsid w:val="00891D10"/>
    <w:rsid w:val="008A0C79"/>
    <w:rsid w:val="008C34B5"/>
    <w:rsid w:val="009137A5"/>
    <w:rsid w:val="00953776"/>
    <w:rsid w:val="009C2989"/>
    <w:rsid w:val="00A558DB"/>
    <w:rsid w:val="00AC43CA"/>
    <w:rsid w:val="00AD0010"/>
    <w:rsid w:val="00B22E33"/>
    <w:rsid w:val="00BA2489"/>
    <w:rsid w:val="00BB2B18"/>
    <w:rsid w:val="00BE3BCA"/>
    <w:rsid w:val="00C20F0A"/>
    <w:rsid w:val="00C56CA3"/>
    <w:rsid w:val="00C70EB8"/>
    <w:rsid w:val="00C72314"/>
    <w:rsid w:val="00C776C9"/>
    <w:rsid w:val="00CC0344"/>
    <w:rsid w:val="00CC2F46"/>
    <w:rsid w:val="00CF3159"/>
    <w:rsid w:val="00CF571C"/>
    <w:rsid w:val="00D02BCB"/>
    <w:rsid w:val="00D12B63"/>
    <w:rsid w:val="00D237B4"/>
    <w:rsid w:val="00D30F85"/>
    <w:rsid w:val="00D6108F"/>
    <w:rsid w:val="00D66131"/>
    <w:rsid w:val="00D70A63"/>
    <w:rsid w:val="00E31907"/>
    <w:rsid w:val="00E4268B"/>
    <w:rsid w:val="00E442FD"/>
    <w:rsid w:val="00E81CFA"/>
    <w:rsid w:val="00ED4810"/>
    <w:rsid w:val="00EF7F42"/>
    <w:rsid w:val="00F25076"/>
    <w:rsid w:val="09654B91"/>
    <w:rsid w:val="09D3723E"/>
    <w:rsid w:val="0A1F20FD"/>
    <w:rsid w:val="0CB92D52"/>
    <w:rsid w:val="0D687620"/>
    <w:rsid w:val="0E8458C3"/>
    <w:rsid w:val="106B45D8"/>
    <w:rsid w:val="11BE057C"/>
    <w:rsid w:val="1352573F"/>
    <w:rsid w:val="172E6ED4"/>
    <w:rsid w:val="1BD93079"/>
    <w:rsid w:val="1D842C96"/>
    <w:rsid w:val="1E7C04CA"/>
    <w:rsid w:val="208E11CE"/>
    <w:rsid w:val="23A73351"/>
    <w:rsid w:val="23D9444E"/>
    <w:rsid w:val="24B516B2"/>
    <w:rsid w:val="26C811A0"/>
    <w:rsid w:val="274857A6"/>
    <w:rsid w:val="27D11497"/>
    <w:rsid w:val="2DD137FD"/>
    <w:rsid w:val="2F0D5402"/>
    <w:rsid w:val="2F222ED2"/>
    <w:rsid w:val="30EC5EE8"/>
    <w:rsid w:val="3C7F11CA"/>
    <w:rsid w:val="3CBD0602"/>
    <w:rsid w:val="3E821E3E"/>
    <w:rsid w:val="3EF80539"/>
    <w:rsid w:val="424D2ABB"/>
    <w:rsid w:val="44767CE2"/>
    <w:rsid w:val="45801288"/>
    <w:rsid w:val="49E55976"/>
    <w:rsid w:val="4A765644"/>
    <w:rsid w:val="4ABC3110"/>
    <w:rsid w:val="4C794B15"/>
    <w:rsid w:val="4DFF4E13"/>
    <w:rsid w:val="4E9C35B8"/>
    <w:rsid w:val="52BA2D4E"/>
    <w:rsid w:val="53BD416B"/>
    <w:rsid w:val="556242DA"/>
    <w:rsid w:val="55A872F9"/>
    <w:rsid w:val="599B3D7C"/>
    <w:rsid w:val="5ADC76E3"/>
    <w:rsid w:val="5B357F71"/>
    <w:rsid w:val="5DFFFE5D"/>
    <w:rsid w:val="5FAFF2AC"/>
    <w:rsid w:val="6180411A"/>
    <w:rsid w:val="6181125C"/>
    <w:rsid w:val="662873E0"/>
    <w:rsid w:val="67B37FF2"/>
    <w:rsid w:val="68393307"/>
    <w:rsid w:val="69E83787"/>
    <w:rsid w:val="774C5A0D"/>
    <w:rsid w:val="7EE8648E"/>
    <w:rsid w:val="B5FD67B9"/>
    <w:rsid w:val="FD87F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12" w:lineRule="atLeas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0"/>
    <w:rPr>
      <w:sz w:val="18"/>
      <w:szCs w:val="18"/>
    </w:rPr>
  </w:style>
  <w:style w:type="character" w:customStyle="1" w:styleId="10">
    <w:name w:val="页脚 Char"/>
    <w:basedOn w:val="7"/>
    <w:link w:val="3"/>
    <w:qFormat/>
    <w:uiPriority w:val="0"/>
    <w:rPr>
      <w:sz w:val="18"/>
      <w:szCs w:val="18"/>
    </w:rPr>
  </w:style>
  <w:style w:type="character" w:customStyle="1" w:styleId="11">
    <w:name w:val="HTML 预设格式 Char"/>
    <w:basedOn w:val="7"/>
    <w:link w:val="5"/>
    <w:qFormat/>
    <w:uiPriority w:val="99"/>
    <w:rPr>
      <w:rFonts w:ascii="宋体" w:hAnsi="宋体" w:eastAsia="宋体" w:cs="宋体"/>
      <w:sz w:val="24"/>
      <w:szCs w:val="24"/>
    </w:rPr>
  </w:style>
  <w:style w:type="paragraph" w:styleId="12">
    <w:name w:val="List Paragraph"/>
    <w:basedOn w:val="1"/>
    <w:unhideWhenUsed/>
    <w:qFormat/>
    <w:uiPriority w:val="99"/>
    <w:pPr>
      <w:ind w:firstLine="420" w:firstLineChars="200"/>
    </w:pPr>
  </w:style>
  <w:style w:type="paragraph" w:customStyle="1" w:styleId="13">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3897</Words>
  <Characters>4252</Characters>
  <Lines>29</Lines>
  <Paragraphs>8</Paragraphs>
  <TotalTime>0</TotalTime>
  <ScaleCrop>false</ScaleCrop>
  <LinksUpToDate>false</LinksUpToDate>
  <CharactersWithSpaces>4256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2021-04-17T00:15:00Z</dcterms:created>
  <dc:creator>Apache POI</dc:creator>
  <cp:lastModifiedBy>宁德市林业局收文</cp:lastModifiedBy>
  <cp:lastPrinted>2025-04-17T23:58:00Z</cp:lastPrinted>
  <dcterms:modified xsi:type="dcterms:W3CDTF">2025-04-17T16:25:02Z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3D46BC5C9768440AACAFF7E9D00F3115_13</vt:lpwstr>
  </property>
  <property fmtid="{D5CDD505-2E9C-101B-9397-08002B2CF9AE}" pid="4" name="KSOTemplateDocerSaveRecord">
    <vt:lpwstr>eyJoZGlkIjoiNTJlZjM3ZWE0MzdlNTVkYjZhMmU2YzgyYTlkMjQyMDMiLCJ1c2VySWQiOiIxMjE3NjQ5NDI1In0=</vt:lpwstr>
  </property>
</Properties>
</file>